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12DF9" w14:textId="73603204"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b/>
          <w:bCs/>
          <w:color w:val="222222"/>
        </w:rPr>
        <w:t>Title:</w:t>
      </w:r>
      <w:r w:rsidRPr="00FD0DCA">
        <w:rPr>
          <w:rFonts w:ascii="Arial" w:eastAsia="Times New Roman" w:hAnsi="Arial" w:cs="Arial"/>
          <w:color w:val="222222"/>
        </w:rPr>
        <w:t xml:space="preserve">  A Brief Overview: National PBM Clinical Pharmacy Program Managers and the VA National Formulary</w:t>
      </w:r>
    </w:p>
    <w:p w14:paraId="350D8552"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0EB4A190" w14:textId="37718903"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b/>
          <w:bCs/>
          <w:color w:val="222222"/>
        </w:rPr>
        <w:t>Authors</w:t>
      </w:r>
      <w:r w:rsidRPr="00FD0DCA">
        <w:rPr>
          <w:rFonts w:ascii="Arial" w:eastAsia="Times New Roman" w:hAnsi="Arial" w:cs="Arial"/>
          <w:color w:val="222222"/>
        </w:rPr>
        <w:t xml:space="preserve">:  Bernadette B. Heron, Pharm.D., BCOP, National PBM Clinical Pharmacy Program Manager, </w:t>
      </w:r>
      <w:bookmarkStart w:id="0" w:name="_Hlk116977823"/>
      <w:r w:rsidRPr="00FD0DCA">
        <w:rPr>
          <w:rFonts w:ascii="Arial" w:eastAsia="Times New Roman" w:hAnsi="Arial" w:cs="Arial"/>
          <w:color w:val="222222"/>
        </w:rPr>
        <w:t>AVAHO Past President 2021-2022</w:t>
      </w:r>
      <w:bookmarkEnd w:id="0"/>
      <w:r>
        <w:rPr>
          <w:rFonts w:ascii="Arial" w:eastAsia="Times New Roman" w:hAnsi="Arial" w:cs="Arial"/>
          <w:color w:val="222222"/>
        </w:rPr>
        <w:t xml:space="preserve">, </w:t>
      </w:r>
      <w:r w:rsidRPr="00FD0DCA">
        <w:rPr>
          <w:rFonts w:ascii="Arial" w:eastAsia="Times New Roman" w:hAnsi="Arial" w:cs="Arial"/>
          <w:color w:val="222222"/>
        </w:rPr>
        <w:t>Mark C. Geraci, Pharm.D., BCOP National PBM Clinical Pharmacy Program Manager,</w:t>
      </w:r>
      <w:r w:rsidRPr="00FD0DCA">
        <w:rPr>
          <w:rFonts w:ascii="Arial" w:eastAsia="Times New Roman" w:hAnsi="Arial" w:cs="Arial"/>
          <w:color w:val="222222"/>
          <w:lang w:val="pt-BR"/>
        </w:rPr>
        <w:t xml:space="preserve"> Maria Ribeiro, MD – Associate Professor, Hem/Onc Winship Cancer Institute</w:t>
      </w:r>
      <w:r w:rsidR="000A5C30">
        <w:rPr>
          <w:rFonts w:ascii="Arial" w:eastAsia="Times New Roman" w:hAnsi="Arial" w:cs="Arial"/>
          <w:color w:val="222222"/>
          <w:lang w:val="pt-BR"/>
        </w:rPr>
        <w:t xml:space="preserve">, </w:t>
      </w:r>
      <w:r w:rsidR="000A5C30" w:rsidRPr="00FD0DCA">
        <w:rPr>
          <w:rFonts w:ascii="Arial" w:eastAsia="Times New Roman" w:hAnsi="Arial" w:cs="Arial"/>
          <w:color w:val="222222"/>
        </w:rPr>
        <w:t>AVAHO Past President 20</w:t>
      </w:r>
      <w:r w:rsidR="000A5C30">
        <w:rPr>
          <w:rFonts w:ascii="Arial" w:eastAsia="Times New Roman" w:hAnsi="Arial" w:cs="Arial"/>
          <w:color w:val="222222"/>
        </w:rPr>
        <w:t>12</w:t>
      </w:r>
      <w:r w:rsidR="000A5C30" w:rsidRPr="00FD0DCA">
        <w:rPr>
          <w:rFonts w:ascii="Arial" w:eastAsia="Times New Roman" w:hAnsi="Arial" w:cs="Arial"/>
          <w:color w:val="222222"/>
        </w:rPr>
        <w:t>-20</w:t>
      </w:r>
      <w:r w:rsidR="000A5C30">
        <w:rPr>
          <w:rFonts w:ascii="Arial" w:eastAsia="Times New Roman" w:hAnsi="Arial" w:cs="Arial"/>
          <w:color w:val="222222"/>
        </w:rPr>
        <w:t>13.</w:t>
      </w:r>
    </w:p>
    <w:p w14:paraId="42A6CAB5"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13BB60D7"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The National Pharmacy Benefits Management Clinical Pharmacy Program Managers (PBM CPPMs) play a key role in the formulary management process. Historically, each VA facility managed its own formulary process. A total of 173 formulary processes existed within 173 facilities across the nation. Moving care from one facility to the next was not easy for patients. Drugs on formulary at one facility may not be on another’s formulary, leading to fragmented care and frustration.  Attempts to contract with the pharmaceutical industry for best pricing was often limited by facility utilization.</w:t>
      </w:r>
    </w:p>
    <w:p w14:paraId="167EDED7"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In 1995 the VA National Formulary (VANF) was established. The rationale was twofold: (1) minimize variation in patient drug access and (2) obtain leverage for drug contract negotiations.</w:t>
      </w:r>
    </w:p>
    <w:p w14:paraId="1C37A391"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1D8AB3C4" w14:textId="00F63215"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The VHA PBM</w:t>
      </w:r>
      <w:r w:rsidRPr="00FD0DCA">
        <w:rPr>
          <w:rFonts w:ascii="Arial" w:eastAsia="Times New Roman" w:hAnsi="Arial" w:cs="Arial"/>
          <w:color w:val="FF0000"/>
        </w:rPr>
        <w:t> </w:t>
      </w:r>
      <w:r w:rsidRPr="00FD0DCA">
        <w:rPr>
          <w:rFonts w:ascii="Arial" w:eastAsia="Times New Roman" w:hAnsi="Arial" w:cs="Arial"/>
          <w:color w:val="222222"/>
        </w:rPr>
        <w:t>Formulary Management Program Office includes the Consolidated Mail Order Pharmacy (CMOP), the VA Center for Medication Safety (VA MedSafe), the National Acquisition Center (NAC) and the National PBM Clinical Program. Within the National PBM Clinical Program, the National PBM CPPMs, Medical Advisory Panel (MAP) and VISN Pharmacist Executives (VPEs) work together to manage the VANF. The CPPMs are Subject Matter Experts (SMEs), many board-certified pharmacists, in their respective specialties. In addition to the hematology/oncology specialists, who are Board Certified in Oncology Pharmacy (BCOP), there are SMEs in multiple clinical specialties.</w:t>
      </w:r>
    </w:p>
    <w:p w14:paraId="6D1F219E"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5E59AC2C"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The process of formulary management is guided by key objectives that include the following: (1) develop and maintain an evidence-based formulary (2) reduce geographic variability in drug utilization (3) promote appropriate drug therapy (4) improve drug safety (5) support portability and uniformity of the drug benefit and (6) perform relevant outcome assessment projects. One way that CPPMs support the formulary management process is through their Clinical Document Development process. The clinical documents that field practitioners are likely to be most familiar are the New Molecular Entity (NME) Drug Monograph and Criteria for Use (CFU). Other guidance documents include Drug Class Reviews, Recommendations for Use, Clinical Guidance White Papers and Clinical Practice Guidelines (CPGs).</w:t>
      </w:r>
    </w:p>
    <w:p w14:paraId="312F04E7"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73DBE17D"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xml:space="preserve">As defined by the FDA, NMEs are medications containing an active substance that has never before been approved for marketing in any form in the U.S. The purpose of the NME drug monograph is to educate the Formulary Committee (MAP, VPEs and PBM) about key considerations that support a national formulary decision.  In addition, the drug monograph provides critical information for the field to make important treatment decisions. Based upon an extensive literature review, the monograph contains evidence supporting efficacy, safety and cost while addressing other issues pertinent to use of the drug in the veteran population, such as place-in-therapy. The monograph also supports CFU decisions. Criteria for Use are a clinical tool to guide appropriate use, but they are not written for every NME. Only if there are concerns for safety will CFU be developed. The CPPMs work with SMEs when drafting drug monographs and CFU to gather varied clinical expertise. Once final drafts are developed, the documents are sent out for widespread dissemination to VA oncology practitioners requesting their review and feedback. The peer review process is a very important one. It allows practitioners to weigh in, based on their own interpretation of the clinical data and experience, on key documents that will </w:t>
      </w:r>
      <w:r w:rsidRPr="00FD0DCA">
        <w:rPr>
          <w:rFonts w:ascii="Arial" w:eastAsia="Times New Roman" w:hAnsi="Arial" w:cs="Arial"/>
          <w:color w:val="222222"/>
        </w:rPr>
        <w:lastRenderedPageBreak/>
        <w:t>guide future drug use in the VA Healthcare System (VAHCS). Once comments are compiled, changes are incorporated into the documents, then presented to the Formulary Committee.  </w:t>
      </w:r>
    </w:p>
    <w:p w14:paraId="556674DD"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569E373F"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Additionally, a PBM white paper on the national formulary process for managing biosimilar drugs is in process. This document is a compilation of efforts that include clinical data from the CPPMs and VA MedSAFE biosimilar surveillance project.</w:t>
      </w:r>
    </w:p>
    <w:p w14:paraId="0EBA5A7C"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 </w:t>
      </w:r>
    </w:p>
    <w:p w14:paraId="1E2DFE6C"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The VANF is central to many treatment decisions for our veterans. The accelerated FDA approval process, allowing NMEs to reach the market in less time than the standard approval process, can result in frequent changes to the VANF. Up-to-date knowledge of the formulary management process and VANF has led to collaborative efforts throughout the National Oncology Program Office, with involvement in the Oncology Program Office hours, National Precision Oncology Program and the Oncology Clinical Pathways.  Recent endeavors of the PBM CPPMs include the establishment of the VHA PBM Anti-Cancer Stewardship (ACS) which is based upon the key objectives that guide national formulary management. Volunteers from two VISNs helped to develop and validate the stewardship process. More information will follow about this national VA oncology stewardship program as we begin expanding our search for volunteers with interest in this valuable quality improvement program.</w:t>
      </w:r>
    </w:p>
    <w:p w14:paraId="658631A0" w14:textId="77777777" w:rsidR="00FD0DCA" w:rsidRPr="00FD0DCA" w:rsidRDefault="00FD0DCA" w:rsidP="00FD0DCA">
      <w:pPr>
        <w:shd w:val="clear" w:color="auto" w:fill="FFFFFF"/>
        <w:spacing w:after="0" w:line="240" w:lineRule="auto"/>
        <w:rPr>
          <w:rFonts w:ascii="Arial" w:eastAsia="Times New Roman" w:hAnsi="Arial" w:cs="Arial"/>
          <w:color w:val="222222"/>
          <w:sz w:val="24"/>
          <w:szCs w:val="24"/>
        </w:rPr>
      </w:pPr>
      <w:r w:rsidRPr="00FD0DCA">
        <w:rPr>
          <w:rFonts w:ascii="Arial" w:eastAsia="Times New Roman" w:hAnsi="Arial" w:cs="Arial"/>
          <w:color w:val="222222"/>
          <w:sz w:val="24"/>
          <w:szCs w:val="24"/>
        </w:rPr>
        <w:t> </w:t>
      </w:r>
    </w:p>
    <w:p w14:paraId="682AB066"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References:</w:t>
      </w:r>
    </w:p>
    <w:p w14:paraId="48BE1AC3"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Sales MM, Cunningham FE, Glassman PA, Valentino MA, Good CB. Pharmacy Benefits Management in the Veterans Health Administration: 1995 to 2003. Am J Manag Care 2005; 11: 104-112.</w:t>
      </w:r>
    </w:p>
    <w:p w14:paraId="40157F49" w14:textId="77777777" w:rsidR="00FD0DCA" w:rsidRPr="00FD0DCA" w:rsidRDefault="00FD0DCA" w:rsidP="00FD0DCA">
      <w:pPr>
        <w:shd w:val="clear" w:color="auto" w:fill="FFFFFF"/>
        <w:spacing w:after="0" w:line="240" w:lineRule="auto"/>
        <w:rPr>
          <w:rFonts w:ascii="Arial" w:eastAsia="Times New Roman" w:hAnsi="Arial" w:cs="Arial"/>
          <w:color w:val="222222"/>
        </w:rPr>
      </w:pPr>
      <w:r w:rsidRPr="00FD0DCA">
        <w:rPr>
          <w:rFonts w:ascii="Arial" w:eastAsia="Times New Roman" w:hAnsi="Arial" w:cs="Arial"/>
          <w:color w:val="222222"/>
        </w:rPr>
        <w:t>Aspinall SL, Sales MM, Good CB, et al. Pharmacy Benefits Management in the Veterans Health Administration Revisited: A Decade of Advancements, 2004-2014. J Manag Care Spec Pharm 2016; 22: 1058-1063.</w:t>
      </w:r>
    </w:p>
    <w:p w14:paraId="13C0E232" w14:textId="77777777" w:rsidR="00FD0DCA" w:rsidRPr="00FD0DCA" w:rsidRDefault="00FD0DCA" w:rsidP="00FD0DCA">
      <w:pPr>
        <w:shd w:val="clear" w:color="auto" w:fill="FFFFFF"/>
        <w:spacing w:after="0" w:line="240" w:lineRule="auto"/>
        <w:rPr>
          <w:rFonts w:ascii="Arial" w:eastAsia="Times New Roman" w:hAnsi="Arial" w:cs="Arial"/>
          <w:color w:val="222222"/>
          <w:sz w:val="24"/>
          <w:szCs w:val="24"/>
        </w:rPr>
      </w:pPr>
      <w:r w:rsidRPr="00FD0DCA">
        <w:rPr>
          <w:rFonts w:ascii="Arial" w:eastAsia="Times New Roman" w:hAnsi="Arial" w:cs="Arial"/>
          <w:color w:val="222222"/>
          <w:sz w:val="24"/>
          <w:szCs w:val="24"/>
        </w:rPr>
        <w:t> </w:t>
      </w:r>
    </w:p>
    <w:p w14:paraId="69B2675C" w14:textId="77777777" w:rsidR="00FD0DCA" w:rsidRPr="00FD0DCA" w:rsidRDefault="00FD0DCA" w:rsidP="00FD0DCA">
      <w:pPr>
        <w:shd w:val="clear" w:color="auto" w:fill="FFFFFF"/>
        <w:spacing w:after="0" w:line="240" w:lineRule="auto"/>
        <w:rPr>
          <w:rFonts w:ascii="Arial" w:eastAsia="Times New Roman" w:hAnsi="Arial" w:cs="Arial"/>
          <w:color w:val="222222"/>
          <w:sz w:val="24"/>
          <w:szCs w:val="24"/>
        </w:rPr>
      </w:pPr>
      <w:r w:rsidRPr="00FD0DCA">
        <w:rPr>
          <w:rFonts w:ascii="Arial" w:eastAsia="Times New Roman" w:hAnsi="Arial" w:cs="Arial"/>
          <w:color w:val="222222"/>
          <w:sz w:val="24"/>
          <w:szCs w:val="24"/>
        </w:rPr>
        <w:t> </w:t>
      </w:r>
    </w:p>
    <w:tbl>
      <w:tblPr>
        <w:tblW w:w="5955" w:type="dxa"/>
        <w:tblCellSpacing w:w="0" w:type="dxa"/>
        <w:shd w:val="clear" w:color="auto" w:fill="FFFFFF"/>
        <w:tblCellMar>
          <w:left w:w="0" w:type="dxa"/>
          <w:right w:w="0" w:type="dxa"/>
        </w:tblCellMar>
        <w:tblLook w:val="04A0" w:firstRow="1" w:lastRow="0" w:firstColumn="1" w:lastColumn="0" w:noHBand="0" w:noVBand="1"/>
      </w:tblPr>
      <w:tblGrid>
        <w:gridCol w:w="5955"/>
      </w:tblGrid>
      <w:tr w:rsidR="00FD0DCA" w:rsidRPr="00FD0DCA" w14:paraId="50B2515C" w14:textId="77777777" w:rsidTr="00FD0DCA">
        <w:trPr>
          <w:trHeight w:val="1338"/>
          <w:tblCellSpacing w:w="0" w:type="dxa"/>
        </w:trPr>
        <w:tc>
          <w:tcPr>
            <w:tcW w:w="5864" w:type="dxa"/>
            <w:shd w:val="clear" w:color="auto" w:fill="FFFFFF"/>
            <w:tcMar>
              <w:top w:w="0" w:type="dxa"/>
              <w:left w:w="150" w:type="dxa"/>
              <w:bottom w:w="180" w:type="dxa"/>
              <w:right w:w="0" w:type="dxa"/>
            </w:tcMar>
            <w:hideMark/>
          </w:tcPr>
          <w:p w14:paraId="7C343465"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Lucida Handwriting" w:eastAsia="Times New Roman" w:hAnsi="Lucida Handwriting" w:cs="Arial"/>
                <w:b/>
                <w:bCs/>
                <w:color w:val="222222"/>
                <w:sz w:val="24"/>
                <w:szCs w:val="24"/>
              </w:rPr>
              <w:t> </w:t>
            </w:r>
          </w:p>
          <w:p w14:paraId="79CB102E"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Lucida Handwriting" w:eastAsia="Times New Roman" w:hAnsi="Lucida Handwriting" w:cs="Arial"/>
                <w:b/>
                <w:bCs/>
                <w:color w:val="464646"/>
                <w:sz w:val="24"/>
                <w:szCs w:val="24"/>
              </w:rPr>
              <w:t>Berni</w:t>
            </w:r>
          </w:p>
          <w:p w14:paraId="7E38C0E6"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Lucida Handwriting" w:eastAsia="Times New Roman" w:hAnsi="Lucida Handwriting" w:cs="Arial"/>
                <w:b/>
                <w:bCs/>
                <w:color w:val="464646"/>
                <w:sz w:val="24"/>
                <w:szCs w:val="24"/>
              </w:rPr>
              <w:t> </w:t>
            </w:r>
          </w:p>
          <w:p w14:paraId="624D3210"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Verdana" w:eastAsia="Times New Roman" w:hAnsi="Verdana" w:cs="Arial"/>
                <w:b/>
                <w:bCs/>
                <w:color w:val="464646"/>
                <w:sz w:val="20"/>
                <w:szCs w:val="20"/>
              </w:rPr>
              <w:t> </w:t>
            </w:r>
          </w:p>
          <w:p w14:paraId="4686690D"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Verdana" w:eastAsia="Times New Roman" w:hAnsi="Verdana" w:cs="Arial"/>
                <w:b/>
                <w:bCs/>
                <w:color w:val="464646"/>
                <w:sz w:val="20"/>
                <w:szCs w:val="20"/>
              </w:rPr>
              <w:t>Berni Heron, Pharm.D., BCOP</w:t>
            </w:r>
            <w:r w:rsidRPr="00FD0DCA">
              <w:rPr>
                <w:rFonts w:ascii="Verdana" w:eastAsia="Times New Roman" w:hAnsi="Verdana" w:cs="Arial"/>
                <w:color w:val="222222"/>
                <w:sz w:val="20"/>
                <w:szCs w:val="20"/>
              </w:rPr>
              <w:br/>
            </w:r>
            <w:r w:rsidRPr="00FD0DCA">
              <w:rPr>
                <w:rFonts w:ascii="Verdana" w:eastAsia="Times New Roman" w:hAnsi="Verdana" w:cs="Arial"/>
                <w:color w:val="000000"/>
                <w:sz w:val="20"/>
                <w:szCs w:val="20"/>
              </w:rPr>
              <w:t>National PBM Clinical Pharmacy Program Manager</w:t>
            </w:r>
          </w:p>
          <w:p w14:paraId="2D78FE60"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Verdana" w:eastAsia="Times New Roman" w:hAnsi="Verdana" w:cs="Arial"/>
                <w:color w:val="000000"/>
                <w:sz w:val="20"/>
                <w:szCs w:val="20"/>
              </w:rPr>
              <w:t>VHA Pharmacy Benefits Management Services</w:t>
            </w:r>
          </w:p>
          <w:p w14:paraId="15C37CDF"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Verdana" w:eastAsia="Times New Roman" w:hAnsi="Verdana" w:cs="Arial"/>
                <w:color w:val="222222"/>
                <w:sz w:val="16"/>
                <w:szCs w:val="16"/>
              </w:rPr>
              <w:t>1</w:t>
            </w:r>
            <w:r w:rsidRPr="00FD0DCA">
              <w:rPr>
                <w:rFonts w:ascii="Verdana" w:eastAsia="Times New Roman" w:hAnsi="Verdana" w:cs="Arial"/>
                <w:color w:val="222222"/>
                <w:sz w:val="16"/>
                <w:szCs w:val="16"/>
                <w:vertAlign w:val="superscript"/>
              </w:rPr>
              <w:t>st</w:t>
            </w:r>
            <w:r w:rsidRPr="00FD0DCA">
              <w:rPr>
                <w:rFonts w:ascii="Verdana" w:eastAsia="Times New Roman" w:hAnsi="Verdana" w:cs="Arial"/>
                <w:color w:val="222222"/>
                <w:sz w:val="16"/>
                <w:szCs w:val="16"/>
              </w:rPr>
              <w:t> Ave – 1 Block North of Cermak (Bldg 37, Rm 139)</w:t>
            </w:r>
          </w:p>
          <w:p w14:paraId="079A423E" w14:textId="77777777" w:rsidR="00FD0DCA" w:rsidRPr="00FD0DCA" w:rsidRDefault="00FD0DCA" w:rsidP="00FD0DCA">
            <w:pPr>
              <w:spacing w:after="0" w:line="255" w:lineRule="atLeast"/>
              <w:rPr>
                <w:rFonts w:ascii="Roboto" w:eastAsia="Times New Roman" w:hAnsi="Roboto" w:cs="Arial"/>
                <w:color w:val="222222"/>
                <w:sz w:val="24"/>
                <w:szCs w:val="24"/>
              </w:rPr>
            </w:pPr>
            <w:r w:rsidRPr="00FD0DCA">
              <w:rPr>
                <w:rFonts w:ascii="Verdana" w:eastAsia="Times New Roman" w:hAnsi="Verdana" w:cs="Arial"/>
                <w:color w:val="222222"/>
                <w:sz w:val="16"/>
                <w:szCs w:val="16"/>
              </w:rPr>
              <w:t>Hines, IL 60141</w:t>
            </w:r>
          </w:p>
          <w:p w14:paraId="43EC0616" w14:textId="77777777" w:rsidR="00FD0DCA" w:rsidRPr="00FD0DCA" w:rsidRDefault="00000000" w:rsidP="00FD0DCA">
            <w:pPr>
              <w:spacing w:after="0" w:line="255" w:lineRule="atLeast"/>
              <w:rPr>
                <w:rFonts w:ascii="Roboto" w:eastAsia="Times New Roman" w:hAnsi="Roboto" w:cs="Arial"/>
                <w:color w:val="222222"/>
                <w:sz w:val="24"/>
                <w:szCs w:val="24"/>
              </w:rPr>
            </w:pPr>
            <w:hyperlink r:id="rId4" w:tgtFrame="_blank" w:history="1">
              <w:r w:rsidR="00FD0DCA" w:rsidRPr="00FD0DCA">
                <w:rPr>
                  <w:rFonts w:ascii="Verdana" w:eastAsia="Times New Roman" w:hAnsi="Verdana" w:cs="Arial"/>
                  <w:color w:val="1155CC"/>
                  <w:sz w:val="16"/>
                  <w:szCs w:val="16"/>
                  <w:u w:val="single"/>
                </w:rPr>
                <w:t>bernadette.heron@va.gov</w:t>
              </w:r>
            </w:hyperlink>
          </w:p>
        </w:tc>
      </w:tr>
    </w:tbl>
    <w:p w14:paraId="1A8F4274" w14:textId="77777777" w:rsidR="00D910F4" w:rsidRDefault="00D910F4"/>
    <w:sectPr w:rsidR="00D910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Roboto">
    <w:altName w:val="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B58"/>
    <w:rsid w:val="000A5C30"/>
    <w:rsid w:val="0053175D"/>
    <w:rsid w:val="00D910F4"/>
    <w:rsid w:val="00F54B58"/>
    <w:rsid w:val="00FD0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9A6E4"/>
  <w15:chartTrackingRefBased/>
  <w15:docId w15:val="{2F644287-5B4C-43E5-A4BD-26040015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7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ernadette.heron@v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899</Words>
  <Characters>5128</Characters>
  <Application>Microsoft Office Word</Application>
  <DocSecurity>0</DocSecurity>
  <Lines>42</Lines>
  <Paragraphs>12</Paragraphs>
  <ScaleCrop>false</ScaleCrop>
  <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L. CRAWFORD</dc:creator>
  <cp:keywords/>
  <dc:description/>
  <cp:lastModifiedBy>Julie Lawson</cp:lastModifiedBy>
  <cp:revision>2</cp:revision>
  <dcterms:created xsi:type="dcterms:W3CDTF">2022-11-02T01:34:00Z</dcterms:created>
  <dcterms:modified xsi:type="dcterms:W3CDTF">2022-11-02T01:34:00Z</dcterms:modified>
</cp:coreProperties>
</file>